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cr="http://schemas.microsoft.com/office/comments/2020/reactions">
  <w:body>
    <w:p w:rsidR="00000000" w:rsidDel="00000000" w:rsidP="00000000" w:rsidRDefault="00000000" w:rsidRPr="00000000" w14:paraId="00000001">
      <w:pPr>
        <w:pStyle w:val="Title"/>
        <w:pBdr>
          <w:bottom w:color="4472c4" w:space="1" w:sz="24" w:val="single"/>
        </w:pBdr>
        <w:jc w:val="center"/>
        <w:rPr/>
      </w:pPr>
      <w:r w:rsidDel="00000000" w:rsidR="00000000" w:rsidRPr="00000000">
        <w:rPr>
          <w:rtl w:val="0"/>
        </w:rPr>
        <w:t xml:space="preserve">Positionspapier zur Nutzung des Anwendungskennzeichens für die gerichtete Kommunikation zwischen</w:t>
      </w:r>
    </w:p>
    <w:p w:rsidR="00000000" w:rsidDel="00000000" w:rsidP="00000000" w:rsidRDefault="00000000" w:rsidRPr="00000000" w14:paraId="00000002">
      <w:pPr>
        <w:pStyle w:val="Title"/>
        <w:pBdr>
          <w:bottom w:color="4472c4" w:space="1" w:sz="24" w:val="single"/>
        </w:pBdr>
        <w:jc w:val="center"/>
        <w:rPr/>
      </w:pPr>
      <w:bookmarkStart w:colFirst="0" w:colLast="0" w:name="_2qjnlc715gbr" w:id="0"/>
      <w:bookmarkEnd w:id="0"/>
      <w:r w:rsidDel="00000000" w:rsidR="00000000" w:rsidRPr="00000000">
        <w:rPr>
          <w:rtl w:val="0"/>
        </w:rPr>
        <w:t xml:space="preserve">Leistungserbringern</w:t>
      </w:r>
    </w:p>
    <w:p w:rsidR="00000000" w:rsidDel="00000000" w:rsidP="00000000" w:rsidRDefault="00000000" w:rsidRPr="00000000" w14:paraId="00000003">
      <w:pPr>
        <w:pStyle w:val="Title"/>
        <w:pBdr>
          <w:bottom w:color="4472c4" w:space="1" w:sz="24" w:val="single"/>
        </w:pBdr>
        <w:jc w:val="center"/>
        <w:rPr/>
      </w:pPr>
      <w:r w:rsidDel="00000000" w:rsidR="00000000" w:rsidRPr="00000000">
        <w:rPr>
          <w:rtl w:val="0"/>
        </w:rPr>
      </w:r>
    </w:p>
    <w:p w:rsidR="00000000" w:rsidDel="00000000" w:rsidP="00000000" w:rsidRDefault="00000000" w:rsidRPr="00000000" w14:paraId="00000004">
      <w:pPr>
        <w:pStyle w:val="Title"/>
        <w:pBdr>
          <w:bottom w:color="4472c4" w:space="1" w:sz="24" w:val="single"/>
        </w:pBdr>
        <w:jc w:val="center"/>
        <w:rPr/>
      </w:pPr>
      <w:r w:rsidDel="00000000" w:rsidR="00000000" w:rsidRPr="00000000">
        <w:rPr>
          <w:rtl w:val="0"/>
        </w:rPr>
        <w:t xml:space="preserve"> </w:t>
      </w:r>
    </w:p>
    <w:p w:rsidR="00000000" w:rsidDel="00000000" w:rsidP="00000000" w:rsidRDefault="00000000" w:rsidRPr="00000000" w14:paraId="00000005">
      <w:pPr>
        <w:spacing w:before="1200" w:lineRule="auto"/>
        <w:rPr>
          <w:sz w:val="32"/>
          <w:szCs w:val="32"/>
        </w:rPr>
      </w:pPr>
      <w:r w:rsidDel="00000000" w:rsidR="00000000" w:rsidRPr="00000000">
        <w:rPr>
          <w:sz w:val="32"/>
          <w:szCs w:val="32"/>
          <w:rtl w:val="0"/>
        </w:rPr>
        <w:t xml:space="preserve">Eine Zusammenarbeit der</w:t>
      </w:r>
    </w:p>
    <w:p w:rsidR="00000000" w:rsidDel="00000000" w:rsidP="00000000" w:rsidRDefault="00000000" w:rsidRPr="00000000" w14:paraId="00000006">
      <w:pPr>
        <w:spacing w:before="600" w:lineRule="auto"/>
        <w:rPr>
          <w:sz w:val="44"/>
          <w:szCs w:val="44"/>
        </w:rPr>
      </w:pPr>
      <w:r w:rsidDel="00000000" w:rsidR="00000000" w:rsidRPr="00000000">
        <w:rPr>
          <w:sz w:val="44"/>
          <w:szCs w:val="44"/>
          <w:rtl w:val="0"/>
        </w:rPr>
        <w:t xml:space="preserve">Montagsrunde – </w:t>
      </w:r>
    </w:p>
    <w:p w:rsidR="00000000" w:rsidDel="00000000" w:rsidP="00000000" w:rsidRDefault="00000000" w:rsidRPr="00000000" w14:paraId="00000007">
      <w:pPr>
        <w:spacing w:before="600" w:lineRule="auto"/>
        <w:rPr>
          <w:sz w:val="44"/>
          <w:szCs w:val="44"/>
        </w:rPr>
      </w:pPr>
      <w:r w:rsidDel="00000000" w:rsidR="00000000" w:rsidRPr="00000000">
        <w:rPr>
          <w:sz w:val="44"/>
          <w:szCs w:val="44"/>
          <w:rtl w:val="0"/>
        </w:rPr>
        <w:t xml:space="preserve">Telematikinfrastruktur im Krankenhaus-Umfeld</w:t>
      </w:r>
    </w:p>
    <w:p w:rsidR="00000000" w:rsidDel="00000000" w:rsidP="00000000" w:rsidRDefault="00000000" w:rsidRPr="00000000" w14:paraId="00000008">
      <w:pPr>
        <w:rPr/>
      </w:pPr>
      <w:r w:rsidDel="00000000" w:rsidR="00000000" w:rsidRPr="00000000">
        <w:rPr>
          <w:rtl w:val="0"/>
        </w:rPr>
      </w:r>
    </w:p>
    <w:p w:rsidR="00000000" w:rsidDel="00000000" w:rsidP="00000000" w:rsidRDefault="00000000" w:rsidRPr="00000000" w14:paraId="00000009">
      <w:pPr>
        <w:rPr/>
      </w:pPr>
      <w:r w:rsidDel="00000000" w:rsidR="00000000" w:rsidRPr="00000000">
        <w:br w:type="page"/>
      </w:r>
      <w:r w:rsidDel="00000000" w:rsidR="00000000" w:rsidRPr="00000000">
        <w:rPr>
          <w:rtl w:val="0"/>
        </w:rPr>
      </w:r>
    </w:p>
    <w:p w:rsidR="00000000" w:rsidDel="00000000" w:rsidP="00000000" w:rsidRDefault="00000000" w:rsidRPr="00000000" w14:paraId="0000000A">
      <w:pPr>
        <w:rPr/>
      </w:pPr>
      <w:r w:rsidDel="00000000" w:rsidR="00000000" w:rsidRPr="00000000">
        <w:rPr>
          <w:rtl w:val="0"/>
        </w:rPr>
        <w:t xml:space="preserve">Die Mitgliedsunternehmen und Universitätskliniken der Montagsrunde – Telematikinfrastruktur im Krankenhaus-Umfeld setzen sich für eine rasche, nutzenstiftende Digitalisierung des Gesundheitswesens ein, bei der digitale Anwendungen und neue Schnittstellen zum Datenaustausch zwischen Systemen bei den Nutzer:innen direkte Mehrwerte generieren. Aufgrund von gesetzlichen Pflichten müssen Leistungserbringer momentan viele Kapazitäten in die Bereitstellung für die Fachanwendung Kommunikation im Medizinwesen (KIM), insbesondere die elektronische Arbeitsunfähigkeitsbescheinigung (eAU), investieren.</w:t>
      </w:r>
    </w:p>
    <w:p w:rsidR="00000000" w:rsidDel="00000000" w:rsidP="00000000" w:rsidRDefault="00000000" w:rsidRPr="00000000" w14:paraId="0000000B">
      <w:pPr>
        <w:pStyle w:val="Heading1"/>
        <w:rPr/>
      </w:pPr>
      <w:r w:rsidDel="00000000" w:rsidR="00000000" w:rsidRPr="00000000">
        <w:rPr>
          <w:rtl w:val="0"/>
        </w:rPr>
        <w:t xml:space="preserve">Hintergrund</w:t>
      </w:r>
    </w:p>
    <w:p w:rsidR="00000000" w:rsidDel="00000000" w:rsidP="00000000" w:rsidRDefault="00000000" w:rsidRPr="00000000" w14:paraId="0000000C">
      <w:pPr>
        <w:rPr/>
      </w:pPr>
      <w:r w:rsidDel="00000000" w:rsidR="00000000" w:rsidRPr="00000000">
        <w:rPr>
          <w:rtl w:val="0"/>
        </w:rPr>
        <w:t xml:space="preserve">Mit dem Terminservice- und Versorgungsgesetz (TSVG) hat die Bundesregierung 2019 die ersten gesetzlichen Rahmenbedingungen für die Einführung einer digitalen AU-Bescheinigung geschaffen. Seit Januar 2023 ist die eAU nun verpflichtend für Leistungserbringer in Deutschland.</w:t>
      </w:r>
    </w:p>
    <w:p w:rsidR="00000000" w:rsidDel="00000000" w:rsidP="00000000" w:rsidRDefault="00000000" w:rsidRPr="00000000" w14:paraId="0000000D">
      <w:pPr>
        <w:rPr/>
      </w:pPr>
      <w:r w:rsidDel="00000000" w:rsidR="00000000" w:rsidRPr="00000000">
        <w:rPr>
          <w:rtl w:val="0"/>
        </w:rPr>
        <w:t xml:space="preserve">Das eAU-Verfahren basiert auf dem KIM-Dienst der Telematikinfrastruktur, Kommunikation im Medizinwesen. Im Kern ist KIM ein E-Mail-Dienst, der zur Optimierung für die TI, um Funktionalität erweitert wurde. Zu diesen Erweiterungen gehört unter anderem eine Dienstkennung. Bei der Dienstkennung handelt es sich um ein Kennzeichen im E-Mail-Header, dass eine Zuordnung und Automatisierung eingehender Nachrichten erlaubt. Neben der Dienstkennung für das eAU-Verfahren existieren bereits heute diverse weitere Dienstkennung</w:t>
      </w:r>
      <w:r w:rsidDel="00000000" w:rsidR="00000000" w:rsidRPr="00000000">
        <w:rPr>
          <w:rtl w:val="0"/>
        </w:rPr>
        <w:t xml:space="preserve"> </w:t>
      </w:r>
      <w:r w:rsidDel="00000000" w:rsidR="00000000" w:rsidRPr="00000000">
        <w:rPr>
          <w:vertAlign w:val="superscript"/>
        </w:rPr>
        <w:footnoteReference w:customMarkFollows="0" w:id="0"/>
      </w:r>
      <w:r w:rsidDel="00000000" w:rsidR="00000000" w:rsidRPr="00000000">
        <w:rPr>
          <w:rtl w:val="0"/>
        </w:rPr>
        <w:t xml:space="preserve"> (z.B. LDT 3 - Auftrag, LDT 3 - Befund, eDMP uw.)</w:t>
      </w:r>
      <w:r w:rsidDel="00000000" w:rsidR="00000000" w:rsidRPr="00000000">
        <w:rPr>
          <w:rtl w:val="0"/>
        </w:rPr>
        <w:t xml:space="preserve">. Diese werden allerdings von Krankenhausinformationssystemen </w:t>
      </w:r>
      <w:r w:rsidDel="00000000" w:rsidR="00000000" w:rsidRPr="00000000">
        <w:rPr>
          <w:rtl w:val="0"/>
        </w:rPr>
        <w:t xml:space="preserve">in der Regel aktuell </w:t>
      </w:r>
      <w:r w:rsidDel="00000000" w:rsidR="00000000" w:rsidRPr="00000000">
        <w:rPr>
          <w:rtl w:val="0"/>
        </w:rPr>
        <w:t xml:space="preserve">nicht unterstützt. </w:t>
      </w:r>
    </w:p>
    <w:p w:rsidR="00000000" w:rsidDel="00000000" w:rsidP="00000000" w:rsidRDefault="00000000" w:rsidRPr="00000000" w14:paraId="0000000E">
      <w:pPr>
        <w:pStyle w:val="Heading1"/>
        <w:rPr/>
      </w:pPr>
      <w:r w:rsidDel="00000000" w:rsidR="00000000" w:rsidRPr="00000000">
        <w:rPr>
          <w:rtl w:val="0"/>
        </w:rPr>
        <w:t xml:space="preserve">Erfahrungen nach der Etablierung der eAU</w:t>
      </w:r>
    </w:p>
    <w:p w:rsidR="00000000" w:rsidDel="00000000" w:rsidP="00000000" w:rsidRDefault="00000000" w:rsidRPr="00000000" w14:paraId="0000000F">
      <w:pPr>
        <w:rPr/>
      </w:pPr>
      <w:r w:rsidDel="00000000" w:rsidR="00000000" w:rsidRPr="00000000">
        <w:rPr>
          <w:rtl w:val="0"/>
        </w:rPr>
        <w:t xml:space="preserve">Die Mitglieder der Montagsrunde – Telematikinfrastruktur im Krankenhaus-Umfeld stellen nach der Umstellung auf die eAU fest, dass auf die eAU KIM-Adresse auch KIM- Nachrichten gesendet werden, die nicht relevant für eAU-Prozesse sind. Dieser technische Sachverhalt macht ein Monitoring der eAU KIM-Adresse und einen aufwändigen internen Zustellprozess von </w:t>
      </w:r>
      <w:r w:rsidDel="00000000" w:rsidR="00000000" w:rsidRPr="00000000">
        <w:rPr>
          <w:rtl w:val="0"/>
        </w:rPr>
        <w:t xml:space="preserve">fehlgeleiteten</w:t>
      </w:r>
      <w:r w:rsidDel="00000000" w:rsidR="00000000" w:rsidRPr="00000000">
        <w:rPr>
          <w:rtl w:val="0"/>
        </w:rPr>
        <w:t xml:space="preserve"> Nachrichten </w:t>
      </w:r>
      <w:r w:rsidDel="00000000" w:rsidR="00000000" w:rsidRPr="00000000">
        <w:rPr>
          <w:rtl w:val="0"/>
        </w:rPr>
        <w:t xml:space="preserve">notwendig. Der manuelle Zustellprozess ist mit einem deutlich erhöhten Personalaufwand verbunden und in </w:t>
      </w:r>
      <w:r w:rsidDel="00000000" w:rsidR="00000000" w:rsidRPr="00000000">
        <w:rPr>
          <w:rtl w:val="0"/>
        </w:rPr>
        <w:t xml:space="preserve">größeren Organisationen nicht skalierbar.</w:t>
      </w:r>
    </w:p>
    <w:p w:rsidR="00000000" w:rsidDel="00000000" w:rsidP="00000000" w:rsidRDefault="00000000" w:rsidRPr="00000000" w14:paraId="00000010">
      <w:pPr>
        <w:rPr/>
      </w:pPr>
      <w:r w:rsidDel="00000000" w:rsidR="00000000" w:rsidRPr="00000000">
        <w:rPr>
          <w:rtl w:val="0"/>
        </w:rPr>
        <w:t xml:space="preserve">Aktuell </w:t>
      </w:r>
      <w:r w:rsidDel="00000000" w:rsidR="00000000" w:rsidRPr="00000000">
        <w:rPr>
          <w:rtl w:val="0"/>
        </w:rPr>
        <w:t xml:space="preserve">werden weitere Dienstkennungen wie eNachricht und eArztbrief</w:t>
      </w:r>
      <w:r w:rsidDel="00000000" w:rsidR="00000000" w:rsidRPr="00000000">
        <w:rPr>
          <w:rtl w:val="0"/>
        </w:rPr>
        <w:t xml:space="preserve"> noch nicht umfassend unterstützt. Dies hängt zum </w:t>
      </w:r>
      <w:r w:rsidDel="00000000" w:rsidR="00000000" w:rsidRPr="00000000">
        <w:rPr>
          <w:rtl w:val="0"/>
        </w:rPr>
        <w:t xml:space="preserve">einen</w:t>
      </w:r>
      <w:r w:rsidDel="00000000" w:rsidR="00000000" w:rsidRPr="00000000">
        <w:rPr>
          <w:rtl w:val="0"/>
        </w:rPr>
        <w:t xml:space="preserve"> an technischen Gegebenheiten (z.B. Primärsysteme unterstützen den eArztbrief noch nicht), den fehlenden Lösungen im Bereich Informationssicherheit (z.B. Erkennung von Schadsoftware in KIM-Nachrichten) und zum anderen an noch zu klärenden prozessualen Lösungen. Insgesamt führt dies aktuell dazu, dass ein Sender z.B. einen eArztbrief an das Krankenhaus versendet, welches den eArztbrief </w:t>
      </w:r>
      <w:r w:rsidDel="00000000" w:rsidR="00000000" w:rsidRPr="00000000">
        <w:rPr>
          <w:rtl w:val="0"/>
        </w:rPr>
        <w:t xml:space="preserve">als Empfänger jedoch nicht verarbeiten kann.</w:t>
      </w:r>
      <w:r w:rsidDel="00000000" w:rsidR="00000000" w:rsidRPr="00000000">
        <w:rPr>
          <w:rtl w:val="0"/>
        </w:rPr>
        <w:t xml:space="preserve"> </w:t>
      </w:r>
      <w:r w:rsidDel="00000000" w:rsidR="00000000" w:rsidRPr="00000000">
        <w:rPr>
          <w:rtl w:val="0"/>
        </w:rPr>
        <w:t xml:space="preserve">Es</w:t>
      </w:r>
      <w:r w:rsidDel="00000000" w:rsidR="00000000" w:rsidRPr="00000000">
        <w:rPr>
          <w:rtl w:val="0"/>
        </w:rPr>
        <w:t xml:space="preserve"> landet </w:t>
      </w:r>
      <w:r w:rsidDel="00000000" w:rsidR="00000000" w:rsidRPr="00000000">
        <w:rPr>
          <w:rtl w:val="0"/>
        </w:rPr>
        <w:t xml:space="preserve">sozusagen</w:t>
      </w:r>
      <w:r w:rsidDel="00000000" w:rsidR="00000000" w:rsidRPr="00000000">
        <w:rPr>
          <w:rtl w:val="0"/>
        </w:rPr>
        <w:t xml:space="preserve"> in einer Dead-Letter-Queue (z. B. dem eAU-Postfach). Damit findet zwar eine technische Kommunikation zwischen Sender und Empfänger statt, aber keine fachliche Kommunikation (zumindest nicht ohne manuellen Eingriff in den Prozess). Letztlich </w:t>
      </w:r>
      <w:r w:rsidDel="00000000" w:rsidR="00000000" w:rsidRPr="00000000">
        <w:rPr>
          <w:rtl w:val="0"/>
        </w:rPr>
        <w:t xml:space="preserve">verschwindet eine Nachricht im digitalen "Nichts", muss gefunden werden und es muss darauf reagiert werden, was in einer kleineren Praxis noch funktionieren kann, aber in größeren Organisationen nur noch mit viel manuellem Aufwand (Skalierungsproblem).</w:t>
      </w:r>
    </w:p>
    <w:p w:rsidR="00000000" w:rsidDel="00000000" w:rsidP="00000000" w:rsidRDefault="00000000" w:rsidRPr="00000000" w14:paraId="00000011">
      <w:pPr>
        <w:rPr/>
      </w:pPr>
      <w:r w:rsidDel="00000000" w:rsidR="00000000" w:rsidRPr="00000000">
        <w:rPr>
          <w:rtl w:val="0"/>
        </w:rPr>
        <w:t xml:space="preserve">Zudem hat ein Empfänger einer KIM-Nachricht, und das ist in diesem Kontext die KIM-Adresse, aktuell keine Möglichkeit, mit den vorhandenen Werkzeugen entweder eine qualifizierte Rückmeldung </w:t>
      </w:r>
      <w:r w:rsidDel="00000000" w:rsidR="00000000" w:rsidRPr="00000000">
        <w:rPr>
          <w:rtl w:val="0"/>
        </w:rPr>
        <w:t xml:space="preserve">zu</w:t>
      </w:r>
      <w:r w:rsidDel="00000000" w:rsidR="00000000" w:rsidRPr="00000000">
        <w:rPr>
          <w:rtl w:val="0"/>
        </w:rPr>
        <w:t xml:space="preserve"> geben (bounce), noch die Nachricht gezielt an eine richtige Adresse weiterzuleiten (heal). Diese fehlende Funktionalität macht es in großen Organisationen im Grunde </w:t>
      </w:r>
      <w:r w:rsidDel="00000000" w:rsidR="00000000" w:rsidRPr="00000000">
        <w:rPr>
          <w:rtl w:val="0"/>
        </w:rPr>
        <w:t xml:space="preserve">unmöglich, einen</w:t>
      </w:r>
      <w:r w:rsidDel="00000000" w:rsidR="00000000" w:rsidRPr="00000000">
        <w:rPr>
          <w:rtl w:val="0"/>
        </w:rPr>
        <w:t xml:space="preserve"> wirtschaftlichen Betrieb von KIM zu realisieren.</w:t>
      </w:r>
    </w:p>
    <w:p w:rsidR="00000000" w:rsidDel="00000000" w:rsidP="00000000" w:rsidRDefault="00000000" w:rsidRPr="00000000" w14:paraId="00000012">
      <w:pPr>
        <w:rPr/>
      </w:pPr>
      <w:r w:rsidDel="00000000" w:rsidR="00000000" w:rsidRPr="00000000">
        <w:rPr>
          <w:rtl w:val="0"/>
        </w:rPr>
        <w:t xml:space="preserve">Wünschenswert sind aus unserer Sicht zwei Funktionen, die eine gesteuerte Kommunikation über KIM erleichtern. Das ist zum einen eine </w:t>
      </w:r>
      <w:r w:rsidDel="00000000" w:rsidR="00000000" w:rsidRPr="00000000">
        <w:rPr>
          <w:rtl w:val="0"/>
        </w:rPr>
        <w:t xml:space="preserve">Funktion, mit</w:t>
      </w:r>
      <w:r w:rsidDel="00000000" w:rsidR="00000000" w:rsidRPr="00000000">
        <w:rPr>
          <w:rtl w:val="0"/>
        </w:rPr>
        <w:t xml:space="preserve"> der eingehende KIM-Nachrichten regelbasiert geprüft und </w:t>
      </w:r>
      <w:r w:rsidDel="00000000" w:rsidR="00000000" w:rsidRPr="00000000">
        <w:rPr>
          <w:rtl w:val="0"/>
        </w:rPr>
        <w:t xml:space="preserve">gegebenenfalls</w:t>
      </w:r>
      <w:r w:rsidDel="00000000" w:rsidR="00000000" w:rsidRPr="00000000">
        <w:rPr>
          <w:rtl w:val="0"/>
        </w:rPr>
        <w:t xml:space="preserve"> an eine andere Adresse weitergeleitet werden können (heal). Zum anderen eine </w:t>
      </w:r>
      <w:r w:rsidDel="00000000" w:rsidR="00000000" w:rsidRPr="00000000">
        <w:rPr>
          <w:rtl w:val="0"/>
        </w:rPr>
        <w:t xml:space="preserve">Funktion, mit</w:t>
      </w:r>
      <w:r w:rsidDel="00000000" w:rsidR="00000000" w:rsidRPr="00000000">
        <w:rPr>
          <w:rtl w:val="0"/>
        </w:rPr>
        <w:t xml:space="preserve"> der ausgehende KIM-Nachrichten geprüft werden können, um dem Absender bei zu erwartender Fehlkommunikation ein schnelles Feedback geben zu können (z.B. diese KIM-Adresse kann keine eAU oder eArztbrief entgegennehmen)(bounce).</w:t>
      </w:r>
      <w:r w:rsidDel="00000000" w:rsidR="00000000" w:rsidRPr="00000000">
        <w:rPr>
          <w:rtl w:val="0"/>
        </w:rPr>
      </w:r>
    </w:p>
    <w:p w:rsidR="00000000" w:rsidDel="00000000" w:rsidP="00000000" w:rsidRDefault="00000000" w:rsidRPr="00000000" w14:paraId="00000013">
      <w:pPr>
        <w:rPr/>
      </w:pPr>
      <w:r w:rsidDel="00000000" w:rsidR="00000000" w:rsidRPr="00000000">
        <w:rPr>
          <w:rtl w:val="0"/>
        </w:rPr>
        <w:t xml:space="preserve">Uns ist klar, dass durch regelbasierte </w:t>
      </w:r>
      <w:r w:rsidDel="00000000" w:rsidR="00000000" w:rsidRPr="00000000">
        <w:rPr>
          <w:rtl w:val="0"/>
        </w:rPr>
        <w:t xml:space="preserve">Kommunikation ein</w:t>
      </w:r>
      <w:r w:rsidDel="00000000" w:rsidR="00000000" w:rsidRPr="00000000">
        <w:rPr>
          <w:rtl w:val="0"/>
        </w:rPr>
        <w:t xml:space="preserve"> Austausch von Nachrichten unterbunden werden kann. Dies ist aber im Wesentlichen von der Umsetzung und der Anwendung abhängig. Damit dies möglichst verhindert wird, ist eine Lösung erforderlich, die </w:t>
      </w:r>
      <w:r w:rsidDel="00000000" w:rsidR="00000000" w:rsidRPr="00000000">
        <w:rPr>
          <w:rtl w:val="0"/>
        </w:rPr>
        <w:t xml:space="preserve">ein</w:t>
      </w:r>
      <w:r w:rsidDel="00000000" w:rsidR="00000000" w:rsidRPr="00000000">
        <w:rPr>
          <w:rtl w:val="0"/>
        </w:rPr>
        <w:t xml:space="preserve"> vernünftiges Verhalten hat. Dies könnte z.B. dadurch erreicht werden, dass ohne eine hinterlegte Regel alle Nachrichten empfangen werden, ansonsten gibt die Regel das Verhalten vor. Damit liegt die Verantwortung der Umsetzung von Regelwerken beim Anwendenden und nicht bei der Technik.</w:t>
      </w:r>
    </w:p>
    <w:p w:rsidR="00000000" w:rsidDel="00000000" w:rsidP="00000000" w:rsidRDefault="00000000" w:rsidRPr="00000000" w14:paraId="00000014">
      <w:pPr>
        <w:rPr/>
      </w:pPr>
      <w:r w:rsidDel="00000000" w:rsidR="00000000" w:rsidRPr="00000000">
        <w:rPr>
          <w:rtl w:val="0"/>
        </w:rPr>
        <w:t xml:space="preserve">Wichtig ist auch, dass die Montagsrunde zwei Perspektiven verfolgt. Zum einen soll  eine langfristige Lösung angestrebt </w:t>
      </w:r>
      <w:r w:rsidDel="00000000" w:rsidR="00000000" w:rsidRPr="00000000">
        <w:rPr>
          <w:rtl w:val="0"/>
        </w:rPr>
        <w:t xml:space="preserve">werden,</w:t>
      </w:r>
      <w:r w:rsidDel="00000000" w:rsidR="00000000" w:rsidRPr="00000000">
        <w:rPr>
          <w:rtl w:val="0"/>
        </w:rPr>
        <w:t xml:space="preserve"> die uns eine echte Digitalisierung von Prozessen im Gesundheitswesen erlaubt. Zum Anderen benötigen wir eine kurzfristige Lösung, um heute mit dem Rollout von KIM in die Breite gehen zu können.   </w:t>
      </w:r>
    </w:p>
    <w:p w:rsidR="00000000" w:rsidDel="00000000" w:rsidP="00000000" w:rsidRDefault="00000000" w:rsidRPr="00000000" w14:paraId="00000015">
      <w:pPr>
        <w:pStyle w:val="Heading1"/>
        <w:rPr/>
      </w:pPr>
      <w:r w:rsidDel="00000000" w:rsidR="00000000" w:rsidRPr="00000000">
        <w:rPr>
          <w:rtl w:val="0"/>
        </w:rPr>
        <w:t xml:space="preserve">Anwendungskennzeichen</w:t>
      </w:r>
    </w:p>
    <w:p w:rsidR="00000000" w:rsidDel="00000000" w:rsidP="00000000" w:rsidRDefault="00000000" w:rsidRPr="00000000" w14:paraId="00000016">
      <w:pPr>
        <w:rPr/>
      </w:pPr>
      <w:r w:rsidDel="00000000" w:rsidR="00000000" w:rsidRPr="00000000">
        <w:rPr>
          <w:rtl w:val="0"/>
        </w:rPr>
        <w:t xml:space="preserve">Die gematik will mit den Anwendungskennzeichen für KIM-Adressen eine Möglichkeit schaffen, dass ein Empfänger die Dienstkennungen pro KIM-Adresse definieren kann. Für diese KIM-Adresse kann der Empfänger entsprechende Prozesse und Verfahren zur Verarbeitung sicherstellen. Darüber soll eine zielgerichtete Kommunikation zwischen Sender um Empfänger sichergestellt und die Qualität der Kommunikation signifikant erhöht werden. Der Sender bekommt damit auch die Gewährleistung, </w:t>
      </w:r>
      <w:r w:rsidDel="00000000" w:rsidR="00000000" w:rsidRPr="00000000">
        <w:rPr>
          <w:rtl w:val="0"/>
        </w:rPr>
        <w:t xml:space="preserve">dass</w:t>
      </w:r>
      <w:r w:rsidDel="00000000" w:rsidR="00000000" w:rsidRPr="00000000">
        <w:rPr>
          <w:rtl w:val="0"/>
        </w:rPr>
        <w:t xml:space="preserve"> seine Nachricht technisch und fachlich verarbeitet werden kann. </w:t>
      </w:r>
      <w:r w:rsidDel="00000000" w:rsidR="00000000" w:rsidRPr="00000000">
        <w:rPr>
          <w:rtl w:val="0"/>
        </w:rPr>
        <w:t xml:space="preserve">Für die Sicherstellung, dass ein Sender die "richtige" KIM-Adresse verwendet, hat die gematik mehrere Lösungsmöglichkeiten erarbeitet:</w:t>
      </w:r>
    </w:p>
    <w:p w:rsidR="00000000" w:rsidDel="00000000" w:rsidP="00000000" w:rsidRDefault="00000000" w:rsidRPr="00000000" w14:paraId="00000017">
      <w:pPr>
        <w:rPr/>
      </w:pPr>
      <w:hyperlink r:id="rId7">
        <w:r w:rsidDel="00000000" w:rsidR="00000000" w:rsidRPr="00000000">
          <w:rPr>
            <w:color w:val="1155cc"/>
            <w:u w:val="single"/>
            <w:rtl w:val="0"/>
          </w:rPr>
          <w:t xml:space="preserve">Anwendungskennzeichen Lösungsbewertung Version 2</w:t>
        </w:r>
      </w:hyperlink>
      <w:r w:rsidDel="00000000" w:rsidR="00000000" w:rsidRPr="00000000">
        <w:rPr>
          <w:rtl w:val="0"/>
        </w:rPr>
      </w:r>
    </w:p>
    <w:p w:rsidR="00000000" w:rsidDel="00000000" w:rsidP="00000000" w:rsidRDefault="00000000" w:rsidRPr="00000000" w14:paraId="00000018">
      <w:pPr>
        <w:pStyle w:val="Heading1"/>
        <w:rPr/>
      </w:pPr>
      <w:r w:rsidDel="00000000" w:rsidR="00000000" w:rsidRPr="00000000">
        <w:rPr>
          <w:rtl w:val="0"/>
        </w:rPr>
        <w:t xml:space="preserve">Anforderungen</w:t>
      </w:r>
    </w:p>
    <w:p w:rsidR="00000000" w:rsidDel="00000000" w:rsidP="00000000" w:rsidRDefault="00000000" w:rsidRPr="00000000" w14:paraId="00000019">
      <w:pPr>
        <w:numPr>
          <w:ilvl w:val="0"/>
          <w:numId w:val="1"/>
        </w:numPr>
        <w:spacing w:after="0" w:afterAutospacing="0"/>
        <w:ind w:left="720" w:hanging="360"/>
        <w:rPr>
          <w:u w:val="none"/>
        </w:rPr>
      </w:pPr>
      <w:r w:rsidDel="00000000" w:rsidR="00000000" w:rsidRPr="00000000">
        <w:rPr>
          <w:rtl w:val="0"/>
        </w:rPr>
        <w:t xml:space="preserve">Gerichtete Kommunikation zwischen den Leistungserbringern und sofortige Rückmeldung an den Sender, wenn eine KIM-Nachricht beim Empfänger nicht verarbeitet werden kann.</w:t>
      </w:r>
    </w:p>
    <w:p w:rsidR="00000000" w:rsidDel="00000000" w:rsidP="00000000" w:rsidRDefault="00000000" w:rsidRPr="00000000" w14:paraId="0000001A">
      <w:pPr>
        <w:numPr>
          <w:ilvl w:val="0"/>
          <w:numId w:val="1"/>
        </w:numPr>
        <w:ind w:left="720" w:hanging="360"/>
        <w:rPr>
          <w:u w:val="none"/>
        </w:rPr>
      </w:pPr>
      <w:r w:rsidDel="00000000" w:rsidR="00000000" w:rsidRPr="00000000">
        <w:rPr>
          <w:rtl w:val="0"/>
        </w:rPr>
        <w:t xml:space="preserve">Empfänger können sicherstellen, dass für Dienstkennungen entsprechende Prozesse etabliert sind (wichtig für große Organisationen).</w:t>
      </w:r>
    </w:p>
    <w:p w:rsidR="00000000" w:rsidDel="00000000" w:rsidP="00000000" w:rsidRDefault="00000000" w:rsidRPr="00000000" w14:paraId="0000001B">
      <w:pPr>
        <w:rPr/>
        <w:sectPr>
          <w:pgSz w:h="16838" w:w="11906" w:orient="portrait"/>
          <w:pgMar w:bottom="1134" w:top="1417" w:left="1417" w:right="1417" w:header="708" w:footer="708"/>
          <w:pgNumType w:start="1"/>
        </w:sectPr>
      </w:pPr>
      <w:r w:rsidDel="00000000" w:rsidR="00000000" w:rsidRPr="00000000">
        <w:rPr>
          <w:rtl w:val="0"/>
        </w:rPr>
      </w:r>
    </w:p>
    <w:p w:rsidR="00000000" w:rsidDel="00000000" w:rsidP="00000000" w:rsidRDefault="00000000" w:rsidRPr="00000000" w14:paraId="0000001C">
      <w:pPr>
        <w:pStyle w:val="Heading1"/>
        <w:rPr/>
      </w:pPr>
      <w:bookmarkStart w:colFirst="0" w:colLast="0" w:name="_r5dc4lkaseec" w:id="1"/>
      <w:bookmarkEnd w:id="1"/>
      <w:r w:rsidDel="00000000" w:rsidR="00000000" w:rsidRPr="00000000">
        <w:rPr>
          <w:rtl w:val="0"/>
        </w:rPr>
        <w:t xml:space="preserve">Entscheidungsmatrix</w:t>
      </w:r>
    </w:p>
    <w:p w:rsidR="00000000" w:rsidDel="00000000" w:rsidP="00000000" w:rsidRDefault="00000000" w:rsidRPr="00000000" w14:paraId="0000001D">
      <w:pPr>
        <w:rPr/>
      </w:pPr>
      <w:r w:rsidDel="00000000" w:rsidR="00000000" w:rsidRPr="00000000">
        <w:rPr>
          <w:rtl w:val="0"/>
        </w:rPr>
        <w:t xml:space="preserve">In der folgenden Entscheidungsmatrix werden die Lösungsansätze der gematik bewertet.</w:t>
      </w:r>
    </w:p>
    <w:tbl>
      <w:tblPr>
        <w:tblStyle w:val="Table1"/>
        <w:tblW w:w="1395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185"/>
        <w:gridCol w:w="5955"/>
        <w:gridCol w:w="6810"/>
        <w:tblGridChange w:id="0">
          <w:tblGrid>
            <w:gridCol w:w="1185"/>
            <w:gridCol w:w="5955"/>
            <w:gridCol w:w="6810"/>
          </w:tblGrid>
        </w:tblGridChange>
      </w:tblGrid>
      <w:tr>
        <w:trPr>
          <w:cantSplit w:val="0"/>
          <w:tblHeader w:val="0"/>
        </w:trPr>
        <w:tc>
          <w:tcPr>
            <w:shd w:fill="a4c2f4" w:val="clear"/>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c>
          <w:tcPr>
            <w:shd w:fill="a4c2f4" w:val="clear"/>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b w:val="1"/>
              </w:rPr>
            </w:pPr>
            <w:r w:rsidDel="00000000" w:rsidR="00000000" w:rsidRPr="00000000">
              <w:rPr>
                <w:b w:val="1"/>
                <w:rtl w:val="0"/>
              </w:rPr>
              <w:t xml:space="preserve">Vorteile</w:t>
            </w:r>
          </w:p>
        </w:tc>
        <w:tc>
          <w:tcPr>
            <w:shd w:fill="a4c2f4" w:val="clear"/>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b w:val="1"/>
              </w:rPr>
            </w:pPr>
            <w:r w:rsidDel="00000000" w:rsidR="00000000" w:rsidRPr="00000000">
              <w:rPr>
                <w:b w:val="1"/>
                <w:rtl w:val="0"/>
              </w:rPr>
              <w:t xml:space="preserve">Nachteile</w:t>
            </w:r>
          </w:p>
        </w:tc>
      </w:tr>
      <w:tr>
        <w:trPr>
          <w:cantSplit w:val="0"/>
          <w:tblHeader w:val="0"/>
        </w:trPr>
        <w:tc>
          <w:tcPr>
            <w:shd w:fill="a4c2f4" w:val="clear"/>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b w:val="1"/>
              </w:rPr>
            </w:pPr>
            <w:r w:rsidDel="00000000" w:rsidR="00000000" w:rsidRPr="00000000">
              <w:rPr>
                <w:b w:val="1"/>
                <w:rtl w:val="0"/>
              </w:rPr>
              <w:t xml:space="preserve">Lösung 1</w:t>
            </w:r>
          </w:p>
        </w:tc>
        <w:tc>
          <w:tcPr>
            <w:shd w:fill="auto" w:val="clear"/>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u w:val="none"/>
              </w:rPr>
            </w:pPr>
            <w:r w:rsidDel="00000000" w:rsidR="00000000" w:rsidRPr="00000000">
              <w:rPr>
                <w:rtl w:val="0"/>
              </w:rPr>
              <w:t xml:space="preserve">generalisierte Transportschicht</w:t>
            </w:r>
          </w:p>
          <w:p w:rsidR="00000000" w:rsidDel="00000000" w:rsidP="00000000" w:rsidRDefault="00000000" w:rsidRPr="00000000" w14:paraId="00000023">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u w:val="none"/>
              </w:rPr>
            </w:pPr>
            <w:r w:rsidDel="00000000" w:rsidR="00000000" w:rsidRPr="00000000">
              <w:rPr>
                <w:rtl w:val="0"/>
              </w:rPr>
              <w:t xml:space="preserve">Sender kann Nachrichten ohne Probleme verschicken (fire and forget)</w:t>
            </w:r>
          </w:p>
        </w:tc>
        <w:tc>
          <w:tcPr>
            <w:shd w:fill="auto" w:val="clear"/>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u w:val="none"/>
              </w:rPr>
            </w:pPr>
            <w:r w:rsidDel="00000000" w:rsidR="00000000" w:rsidRPr="00000000">
              <w:rPr>
                <w:rtl w:val="0"/>
              </w:rPr>
              <w:t xml:space="preserve">hoher Arbeitsaufwand (durchschnittlich 30 min pro Nachricht) für falsch adressierte KIM-Nachrichten</w:t>
            </w:r>
          </w:p>
          <w:p w:rsidR="00000000" w:rsidDel="00000000" w:rsidP="00000000" w:rsidRDefault="00000000" w:rsidRPr="00000000" w14:paraId="00000025">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u w:val="none"/>
              </w:rPr>
            </w:pPr>
            <w:r w:rsidDel="00000000" w:rsidR="00000000" w:rsidRPr="00000000">
              <w:rPr>
                <w:rtl w:val="0"/>
              </w:rPr>
              <w:t xml:space="preserve">ggf. zusätzliche Kosten für den KIM- Fachdienst durch das Weiterleiten der fehlgeleiteten KIM-Nachrichten</w:t>
            </w:r>
          </w:p>
          <w:p w:rsidR="00000000" w:rsidDel="00000000" w:rsidP="00000000" w:rsidRDefault="00000000" w:rsidRPr="00000000" w14:paraId="00000026">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u w:val="none"/>
              </w:rPr>
            </w:pPr>
            <w:r w:rsidDel="00000000" w:rsidR="00000000" w:rsidRPr="00000000">
              <w:rPr>
                <w:rtl w:val="0"/>
              </w:rPr>
              <w:t xml:space="preserve">hohes Datenschutzrisiko durch Nicht-Einhaltung des Behandlungskontexts</w:t>
            </w:r>
          </w:p>
          <w:p w:rsidR="00000000" w:rsidDel="00000000" w:rsidP="00000000" w:rsidRDefault="00000000" w:rsidRPr="00000000" w14:paraId="00000027">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u w:val="none"/>
              </w:rPr>
            </w:pPr>
            <w:r w:rsidDel="00000000" w:rsidR="00000000" w:rsidRPr="00000000">
              <w:rPr>
                <w:rtl w:val="0"/>
              </w:rPr>
              <w:t xml:space="preserve">keine Automatisierbarkeit möglich</w:t>
            </w:r>
          </w:p>
          <w:p w:rsidR="00000000" w:rsidDel="00000000" w:rsidP="00000000" w:rsidRDefault="00000000" w:rsidRPr="00000000" w14:paraId="00000028">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u w:val="none"/>
              </w:rPr>
            </w:pPr>
            <w:r w:rsidDel="00000000" w:rsidR="00000000" w:rsidRPr="00000000">
              <w:rPr>
                <w:rtl w:val="0"/>
              </w:rPr>
              <w:t xml:space="preserve">Erweiterung an ALLEN Primärsystem notwendig</w:t>
            </w:r>
          </w:p>
          <w:p w:rsidR="00000000" w:rsidDel="00000000" w:rsidP="00000000" w:rsidRDefault="00000000" w:rsidRPr="00000000" w14:paraId="00000029">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u w:val="none"/>
              </w:rPr>
            </w:pPr>
            <w:r w:rsidDel="00000000" w:rsidR="00000000" w:rsidRPr="00000000">
              <w:rPr>
                <w:rtl w:val="0"/>
              </w:rPr>
              <w:t xml:space="preserve">Verarbeitung der KIM-Nachricht ist nicht sichergestellt</w:t>
            </w:r>
          </w:p>
          <w:p w:rsidR="00000000" w:rsidDel="00000000" w:rsidP="00000000" w:rsidRDefault="00000000" w:rsidRPr="00000000" w14:paraId="0000002A">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u w:val="none"/>
              </w:rPr>
            </w:pPr>
            <w:r w:rsidDel="00000000" w:rsidR="00000000" w:rsidRPr="00000000">
              <w:rPr>
                <w:rtl w:val="0"/>
              </w:rPr>
              <w:t xml:space="preserve">Vertrauensverlust zwischen Sender und Empfänger</w:t>
            </w:r>
          </w:p>
          <w:p w:rsidR="00000000" w:rsidDel="00000000" w:rsidP="00000000" w:rsidRDefault="00000000" w:rsidRPr="00000000" w14:paraId="0000002B">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u w:val="none"/>
              </w:rPr>
            </w:pPr>
            <w:r w:rsidDel="00000000" w:rsidR="00000000" w:rsidRPr="00000000">
              <w:rPr>
                <w:rtl w:val="0"/>
              </w:rPr>
              <w:t xml:space="preserve">Hoher Implementierungsaufwand, da durch jedes PS zu implementieren</w:t>
            </w:r>
          </w:p>
        </w:tc>
      </w:tr>
      <w:tr>
        <w:trPr>
          <w:cantSplit w:val="0"/>
          <w:tblHeader w:val="0"/>
        </w:trPr>
        <w:tc>
          <w:tcPr>
            <w:shd w:fill="a4c2f4" w:val="clear"/>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b w:val="1"/>
              </w:rPr>
            </w:pPr>
            <w:r w:rsidDel="00000000" w:rsidR="00000000" w:rsidRPr="00000000">
              <w:rPr>
                <w:b w:val="1"/>
                <w:rtl w:val="0"/>
              </w:rPr>
              <w:t xml:space="preserve">Lösung 2</w:t>
            </w:r>
          </w:p>
        </w:tc>
        <w:tc>
          <w:tcPr>
            <w:shd w:fill="auto" w:val="clear"/>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u w:val="none"/>
              </w:rPr>
            </w:pPr>
            <w:r w:rsidDel="00000000" w:rsidR="00000000" w:rsidRPr="00000000">
              <w:rPr>
                <w:rtl w:val="0"/>
              </w:rPr>
              <w:t xml:space="preserve">Unterstützen einer gerichteten Kommunikation</w:t>
            </w:r>
          </w:p>
          <w:p w:rsidR="00000000" w:rsidDel="00000000" w:rsidP="00000000" w:rsidRDefault="00000000" w:rsidRPr="00000000" w14:paraId="0000002E">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u w:val="none"/>
              </w:rPr>
            </w:pPr>
            <w:r w:rsidDel="00000000" w:rsidR="00000000" w:rsidRPr="00000000">
              <w:rPr>
                <w:rtl w:val="0"/>
              </w:rPr>
              <w:t xml:space="preserve">Sicherstellen, dass die Nachricht beim Empfänger auch verarbeitet werden kann</w:t>
            </w:r>
          </w:p>
          <w:p w:rsidR="00000000" w:rsidDel="00000000" w:rsidP="00000000" w:rsidRDefault="00000000" w:rsidRPr="00000000" w14:paraId="0000002F">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u w:val="none"/>
              </w:rPr>
            </w:pPr>
            <w:r w:rsidDel="00000000" w:rsidR="00000000" w:rsidRPr="00000000">
              <w:rPr>
                <w:rtl w:val="0"/>
              </w:rPr>
              <w:t xml:space="preserve">Sofortige Rückmeldung an den Sender wenn “falsche” KIM-Adresse verwendet wird</w:t>
            </w:r>
          </w:p>
          <w:p w:rsidR="00000000" w:rsidDel="00000000" w:rsidP="00000000" w:rsidRDefault="00000000" w:rsidRPr="00000000" w14:paraId="00000030">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u w:val="none"/>
              </w:rPr>
            </w:pPr>
            <w:r w:rsidDel="00000000" w:rsidR="00000000" w:rsidRPr="00000000">
              <w:rPr>
                <w:rtl w:val="0"/>
              </w:rPr>
              <w:t xml:space="preserve">Stärkung des Vertrauens zwischen Sender und Empfänger</w:t>
            </w:r>
          </w:p>
          <w:p w:rsidR="00000000" w:rsidDel="00000000" w:rsidP="00000000" w:rsidRDefault="00000000" w:rsidRPr="00000000" w14:paraId="00000031">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u w:val="none"/>
              </w:rPr>
            </w:pPr>
            <w:r w:rsidDel="00000000" w:rsidR="00000000" w:rsidRPr="00000000">
              <w:rPr>
                <w:rtl w:val="0"/>
              </w:rPr>
              <w:t xml:space="preserve">Anzahl der CM Hersteller ist gering und damit der Implementierungsaufwand gering</w:t>
            </w:r>
          </w:p>
          <w:p w:rsidR="00000000" w:rsidDel="00000000" w:rsidP="00000000" w:rsidRDefault="00000000" w:rsidRPr="00000000" w14:paraId="00000032">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u w:val="none"/>
              </w:rPr>
            </w:pPr>
            <w:r w:rsidDel="00000000" w:rsidR="00000000" w:rsidRPr="00000000">
              <w:rPr>
                <w:rtl w:val="0"/>
              </w:rPr>
              <w:t xml:space="preserve">PS Hersteller können das optional implementieren, aber CM stellt den Wunsch des Empfängers sicher</w:t>
            </w:r>
          </w:p>
        </w:tc>
        <w:tc>
          <w:tcPr>
            <w:shd w:fill="auto" w:val="clear"/>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numPr>
                <w:ilvl w:val="0"/>
                <w:numId w:val="4"/>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u w:val="none"/>
              </w:rPr>
            </w:pPr>
            <w:r w:rsidDel="00000000" w:rsidR="00000000" w:rsidRPr="00000000">
              <w:rPr>
                <w:rtl w:val="0"/>
              </w:rPr>
              <w:t xml:space="preserve">höhere Konfigurationsaufwand auf Empfängerseite</w:t>
            </w:r>
          </w:p>
          <w:p w:rsidR="00000000" w:rsidDel="00000000" w:rsidP="00000000" w:rsidRDefault="00000000" w:rsidRPr="00000000" w14:paraId="00000034">
            <w:pPr>
              <w:keepNext w:val="0"/>
              <w:keepLines w:val="0"/>
              <w:pageBreakBefore w:val="0"/>
              <w:widowControl w:val="0"/>
              <w:numPr>
                <w:ilvl w:val="0"/>
                <w:numId w:val="4"/>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u w:val="none"/>
              </w:rPr>
            </w:pPr>
            <w:r w:rsidDel="00000000" w:rsidR="00000000" w:rsidRPr="00000000">
              <w:rPr>
                <w:rtl w:val="0"/>
              </w:rPr>
              <w:t xml:space="preserve">Nicht Erreichbarkeit durch ggf. Fehlkonfigurationen</w:t>
            </w:r>
          </w:p>
        </w:tc>
      </w:tr>
      <w:tr>
        <w:trPr>
          <w:cantSplit w:val="0"/>
          <w:tblHeader w:val="0"/>
        </w:trPr>
        <w:tc>
          <w:tcPr>
            <w:shd w:fill="9fc5e8" w:val="clear"/>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b w:val="1"/>
              </w:rPr>
            </w:pPr>
            <w:r w:rsidDel="00000000" w:rsidR="00000000" w:rsidRPr="00000000">
              <w:rPr>
                <w:b w:val="1"/>
                <w:rtl w:val="0"/>
              </w:rPr>
              <w:t xml:space="preserve">Lösung 3</w:t>
            </w:r>
          </w:p>
        </w:tc>
        <w:tc>
          <w:tcPr>
            <w:shd w:fill="auto" w:val="clear"/>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u w:val="none"/>
              </w:rPr>
            </w:pPr>
            <w:r w:rsidDel="00000000" w:rsidR="00000000" w:rsidRPr="00000000">
              <w:rPr>
                <w:rtl w:val="0"/>
              </w:rPr>
              <w:t xml:space="preserve">gleiche Vorteile wie Lösung 2</w:t>
            </w:r>
          </w:p>
        </w:tc>
        <w:tc>
          <w:tcPr>
            <w:shd w:fill="auto" w:val="clear"/>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u w:val="none"/>
              </w:rPr>
            </w:pPr>
            <w:r w:rsidDel="00000000" w:rsidR="00000000" w:rsidRPr="00000000">
              <w:rPr>
                <w:rtl w:val="0"/>
              </w:rPr>
              <w:t xml:space="preserve">gleiche Nachteile wie Lösung 2</w:t>
            </w:r>
          </w:p>
          <w:p w:rsidR="00000000" w:rsidDel="00000000" w:rsidP="00000000" w:rsidRDefault="00000000" w:rsidRPr="00000000" w14:paraId="00000038">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u w:val="none"/>
              </w:rPr>
            </w:pPr>
            <w:r w:rsidDel="00000000" w:rsidR="00000000" w:rsidRPr="00000000">
              <w:rPr>
                <w:rtl w:val="0"/>
              </w:rPr>
              <w:t xml:space="preserve">Rückmeldung an den Sender kommt zeitlich verzögert im Vergleich zur Lösung 2</w:t>
            </w:r>
          </w:p>
        </w:tc>
      </w:tr>
      <w:tr>
        <w:trPr>
          <w:cantSplit w:val="0"/>
          <w:tblHeader w:val="0"/>
        </w:trPr>
        <w:tc>
          <w:tcPr>
            <w:shd w:fill="a4c2f4" w:val="clear"/>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b w:val="1"/>
              </w:rPr>
            </w:pPr>
            <w:r w:rsidDel="00000000" w:rsidR="00000000" w:rsidRPr="00000000">
              <w:rPr>
                <w:b w:val="1"/>
                <w:rtl w:val="0"/>
              </w:rPr>
              <w:t xml:space="preserve">Lösung 4</w:t>
            </w:r>
          </w:p>
        </w:tc>
        <w:tc>
          <w:tcPr>
            <w:shd w:fill="auto" w:val="clear"/>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u w:val="none"/>
              </w:rPr>
            </w:pPr>
            <w:r w:rsidDel="00000000" w:rsidR="00000000" w:rsidRPr="00000000">
              <w:rPr>
                <w:rtl w:val="0"/>
              </w:rPr>
              <w:t xml:space="preserve">Über das Regelwerk kann auf Empfänger-Seite ein “automatisches” Routing innerhalb der LE erfolgen</w:t>
            </w:r>
          </w:p>
        </w:tc>
        <w:tc>
          <w:tcPr>
            <w:shd w:fill="auto" w:val="clear"/>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u w:val="none"/>
              </w:rPr>
            </w:pPr>
            <w:r w:rsidDel="00000000" w:rsidR="00000000" w:rsidRPr="00000000">
              <w:rPr>
                <w:rtl w:val="0"/>
              </w:rPr>
              <w:t xml:space="preserve">zusätzliche Pflege eines Regelwerks</w:t>
            </w:r>
          </w:p>
          <w:p w:rsidR="00000000" w:rsidDel="00000000" w:rsidP="00000000" w:rsidRDefault="00000000" w:rsidRPr="00000000" w14:paraId="0000003C">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u w:val="none"/>
              </w:rPr>
            </w:pPr>
            <w:r w:rsidDel="00000000" w:rsidR="00000000" w:rsidRPr="00000000">
              <w:rPr>
                <w:rtl w:val="0"/>
              </w:rPr>
              <w:t xml:space="preserve">deutlich verzögerte Rückmeldung an den Sender durch Bounce-Mail</w:t>
            </w:r>
          </w:p>
          <w:p w:rsidR="00000000" w:rsidDel="00000000" w:rsidP="00000000" w:rsidRDefault="00000000" w:rsidRPr="00000000" w14:paraId="0000003D">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u w:val="none"/>
              </w:rPr>
            </w:pPr>
            <w:r w:rsidDel="00000000" w:rsidR="00000000" w:rsidRPr="00000000">
              <w:rPr>
                <w:rtl w:val="0"/>
              </w:rPr>
              <w:t xml:space="preserve">Risiko einer zusätzlichen Monetarisierung am FD</w:t>
            </w:r>
          </w:p>
          <w:p w:rsidR="00000000" w:rsidDel="00000000" w:rsidP="00000000" w:rsidRDefault="00000000" w:rsidRPr="00000000" w14:paraId="0000003E">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u w:val="none"/>
              </w:rPr>
            </w:pPr>
            <w:r w:rsidDel="00000000" w:rsidR="00000000" w:rsidRPr="00000000">
              <w:rPr>
                <w:rtl w:val="0"/>
              </w:rPr>
              <w:t xml:space="preserve">Erhöhter Personalbedarf durch Überwachung des “Dead Letter” Postfachs</w:t>
            </w:r>
          </w:p>
          <w:p w:rsidR="00000000" w:rsidDel="00000000" w:rsidP="00000000" w:rsidRDefault="00000000" w:rsidRPr="00000000" w14:paraId="0000003F">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u w:val="none"/>
              </w:rPr>
            </w:pPr>
            <w:r w:rsidDel="00000000" w:rsidR="00000000" w:rsidRPr="00000000">
              <w:rPr>
                <w:rtl w:val="0"/>
              </w:rPr>
              <w:t xml:space="preserve">neue Dienstkennungen werden ggf. empfangen, ohne dass entsprechende Prozesse etabliert sind</w:t>
            </w:r>
          </w:p>
        </w:tc>
      </w:tr>
    </w:tbl>
    <w:p w:rsidR="00000000" w:rsidDel="00000000" w:rsidP="00000000" w:rsidRDefault="00000000" w:rsidRPr="00000000" w14:paraId="00000040">
      <w:pPr>
        <w:rPr/>
        <w:sectPr>
          <w:type w:val="nextPage"/>
          <w:pgSz w:h="11906" w:w="16838" w:orient="landscape"/>
          <w:pgMar w:bottom="1134" w:top="1417" w:left="1417" w:right="1417" w:header="708" w:footer="708"/>
        </w:sectPr>
      </w:pPr>
      <w:r w:rsidDel="00000000" w:rsidR="00000000" w:rsidRPr="00000000">
        <w:rPr>
          <w:rtl w:val="0"/>
        </w:rPr>
      </w:r>
    </w:p>
    <w:p w:rsidR="00000000" w:rsidDel="00000000" w:rsidP="00000000" w:rsidRDefault="00000000" w:rsidRPr="00000000" w14:paraId="00000041">
      <w:pPr>
        <w:pStyle w:val="Heading1"/>
        <w:rPr/>
      </w:pPr>
      <w:r w:rsidDel="00000000" w:rsidR="00000000" w:rsidRPr="00000000">
        <w:rPr>
          <w:rtl w:val="0"/>
        </w:rPr>
        <w:t xml:space="preserve">Empfehlung</w:t>
      </w:r>
    </w:p>
    <w:p w:rsidR="00000000" w:rsidDel="00000000" w:rsidP="00000000" w:rsidRDefault="00000000" w:rsidRPr="00000000" w14:paraId="00000042">
      <w:pPr>
        <w:rPr/>
      </w:pPr>
      <w:r w:rsidDel="00000000" w:rsidR="00000000" w:rsidRPr="00000000">
        <w:rPr>
          <w:rtl w:val="0"/>
        </w:rPr>
        <w:t xml:space="preserve">Die Montagsrunde – Telematikinfrastruktur im Krankenhaus-Umfeld empfiehlt im ersten Schritt die Umsetzung der Lösung 2 (Clientmodul prüft das Anwendungskennzeichen). Wir sehen die folgenden Vorteile dieser Lösung:</w:t>
      </w:r>
    </w:p>
    <w:p w:rsidR="00000000" w:rsidDel="00000000" w:rsidP="00000000" w:rsidRDefault="00000000" w:rsidRPr="00000000" w14:paraId="00000043">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Die Implementierung muss nur auf Clientmodul-Ebene erfolgen (deutlich weniger Anbieter als Primärsystem).</w:t>
      </w:r>
    </w:p>
    <w:p w:rsidR="00000000" w:rsidDel="00000000" w:rsidP="00000000" w:rsidRDefault="00000000" w:rsidRPr="00000000" w14:paraId="00000044">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Durch die geringe Anzahl der Clientmodul</w:t>
      </w:r>
      <w:r w:rsidDel="00000000" w:rsidR="00000000" w:rsidRPr="00000000">
        <w:rPr>
          <w:rtl w:val="0"/>
        </w:rPr>
        <w:t xml:space="preserve">-</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Hersteller ist die Verfügbarkeit des Feature schneller gegeben.</w:t>
      </w:r>
    </w:p>
    <w:p w:rsidR="00000000" w:rsidDel="00000000" w:rsidP="00000000" w:rsidRDefault="00000000" w:rsidRPr="00000000" w14:paraId="00000045">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Bereits heute werden am Clientmodul entsprechende Prüfungen durchgeführt, z.B. A_19356-06 - Prüfen der Version des Empfängers (gemSpec_CM_KOMLE_V1.16.0), die Umsetzung einer weiteren Regel erscheint vor diesem Hintergrund am effizientesten.</w:t>
      </w:r>
    </w:p>
    <w:p w:rsidR="00000000" w:rsidDel="00000000" w:rsidP="00000000" w:rsidRDefault="00000000" w:rsidRPr="00000000" w14:paraId="00000046">
      <w:pPr>
        <w:numPr>
          <w:ilvl w:val="0"/>
          <w:numId w:val="6"/>
        </w:numPr>
        <w:spacing w:after="0" w:lineRule="auto"/>
        <w:ind w:left="720" w:hanging="360"/>
      </w:pPr>
      <w:r w:rsidDel="00000000" w:rsidR="00000000" w:rsidRPr="00000000">
        <w:rPr>
          <w:rtl w:val="0"/>
        </w:rPr>
        <w:t xml:space="preserve">Der Sender bekommt beim Versenden gleich eine Rückmeldung, ob die ausgewählte Adresse für seine Dienstkennung auch zur Verfügung steht.</w:t>
      </w:r>
    </w:p>
    <w:p w:rsidR="00000000" w:rsidDel="00000000" w:rsidP="00000000" w:rsidRDefault="00000000" w:rsidRPr="00000000" w14:paraId="00000047">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Die Umsetzung in den jeweiligen Primärsystemen, z.B. bei der Auswahl der KIM-Adresse, kann zeitlich nachgelagert erfolgen, ist aber nicht zwingend notwendig.</w:t>
      </w:r>
    </w:p>
    <w:p w:rsidR="00000000" w:rsidDel="00000000" w:rsidP="00000000" w:rsidRDefault="00000000" w:rsidRPr="00000000" w14:paraId="00000048">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Vertrauen zwischen Sender und Empfänger wird verbessert, da direktes Feedback, ob die Nachricht auf Basis der Dienstkennung verschickt werden k</w:t>
      </w:r>
      <w:r w:rsidDel="00000000" w:rsidR="00000000" w:rsidRPr="00000000">
        <w:rPr>
          <w:rtl w:val="0"/>
        </w:rPr>
        <w:t xml:space="preserve">ann</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w:t>
      </w:r>
    </w:p>
    <w:p w:rsidR="00000000" w:rsidDel="00000000" w:rsidP="00000000" w:rsidRDefault="00000000" w:rsidRPr="00000000" w14:paraId="00000049">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160" w:before="0" w:line="360" w:lineRule="auto"/>
        <w:ind w:left="720" w:right="0" w:hanging="360"/>
        <w:jc w:val="left"/>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Gewährleistung, dass die Nachricht auch beim Empfänger verarbeitet werden kann</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w:t>
      </w:r>
    </w:p>
    <w:p w:rsidR="00000000" w:rsidDel="00000000" w:rsidP="00000000" w:rsidRDefault="00000000" w:rsidRPr="00000000" w14:paraId="0000004A">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160" w:before="0" w:line="360" w:lineRule="auto"/>
        <w:ind w:left="720" w:right="0" w:hanging="360"/>
        <w:jc w:val="left"/>
        <w:rPr>
          <w:u w:val="none"/>
        </w:rPr>
      </w:pPr>
      <w:r w:rsidDel="00000000" w:rsidR="00000000" w:rsidRPr="00000000">
        <w:rPr>
          <w:rtl w:val="0"/>
        </w:rPr>
        <w:t xml:space="preserve">In großen Organisationen kann damit eine zeitnah skalierbare Implementierung erfolgen (KIM-Nachricht erreicht den richtigen Verarbeitungsprozess).</w:t>
      </w:r>
    </w:p>
    <w:sectPr>
      <w:type w:val="nextPage"/>
      <w:pgSz w:h="16838" w:w="11906" w:orient="portrait"/>
      <w:pgMar w:bottom="1134" w:top="1417" w:left="1417" w:right="1417" w:header="708" w:footer="708"/>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cr="http://schemas.microsoft.com/office/comments/2020/reactions">
  <w:font w:name="Calibri"/>
  <w:font w:name="Georgia"/>
  <w:font w:name="Courier New"/>
  <w:font w:name="Noto Sans Symbols">
    <w:embedRegular w:fontKey="{00000000-0000-0000-0000-000000000000}" r:id="rId1" w:subsetted="0"/>
    <w:embedBold w:fontKey="{00000000-0000-0000-0000-000000000000}" r:id="rId2" w:subsetted="0"/>
  </w:font>
</w:fonts>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cr="http://schemas.microsoft.com/office/comments/2020/reactions">
  <w:footnote w:id="0">
    <w:p w:rsidR="00000000" w:rsidDel="00000000" w:rsidP="00000000" w:rsidRDefault="00000000" w:rsidRPr="00000000" w14:paraId="0000004B">
      <w:pPr>
        <w:spacing w:after="0" w:line="240" w:lineRule="auto"/>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hyperlink r:id="rId1">
        <w:r w:rsidDel="00000000" w:rsidR="00000000" w:rsidRPr="00000000">
          <w:rPr>
            <w:color w:val="1155cc"/>
            <w:sz w:val="20"/>
            <w:szCs w:val="20"/>
            <w:u w:val="single"/>
            <w:rtl w:val="0"/>
          </w:rPr>
          <w:t xml:space="preserve">Dienstkennung KIM (KOM-LE): gematik Fachportal</w:t>
        </w:r>
      </w:hyperlink>
      <w:r w:rsidDel="00000000" w:rsidR="00000000" w:rsidRPr="00000000">
        <w:rPr>
          <w:rtl w:val="0"/>
        </w:rPr>
      </w:r>
    </w:p>
  </w:footnote>
</w:footnote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cr="http://schemas.microsoft.com/office/comments/2020/reactions">
  <w:docDefaults>
    <w:rPrDefault>
      <w:rPr>
        <w:rFonts w:ascii="Calibri" w:cs="Calibri" w:eastAsia="Calibri" w:hAnsi="Calibri"/>
        <w:sz w:val="22"/>
        <w:szCs w:val="22"/>
        <w:lang w:val="de"/>
      </w:rPr>
    </w:rPrDefault>
    <w:pPrDefault>
      <w:pPr>
        <w:spacing w:after="160" w:line="360"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before="240" w:lineRule="auto"/>
    </w:pPr>
    <w:rPr>
      <w:rFonts w:ascii="Calibri" w:cs="Calibri" w:eastAsia="Calibri" w:hAnsi="Calibri"/>
      <w:color w:val="2e75b5"/>
      <w:sz w:val="32"/>
      <w:szCs w:val="32"/>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spacing w:after="0" w:line="240" w:lineRule="auto"/>
    </w:pPr>
    <w:rPr>
      <w:rFonts w:ascii="Calibri" w:cs="Calibri" w:eastAsia="Calibri" w:hAnsi="Calibri"/>
      <w:sz w:val="56"/>
      <w:szCs w:val="56"/>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footnotes" Target="footnotes.xml"/><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hyperlink" Target="https://github.com/gematik/api-kim/blob/concept/AK-L%C3%B6sungen/images/diagrams/architecture/Anwendungskennzeichen_L%C3%B6sungsbewertung_v2.png"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_rels/footnotes.xml.rels><?xml version="1.0" encoding="UTF-8" standalone="yes"?><Relationships xmlns="http://schemas.openxmlformats.org/package/2006/relationships"><Relationship Id="rId1" Type="http://schemas.openxmlformats.org/officeDocument/2006/relationships/hyperlink" Target="https://fachportal.gematik.de/toolkit/dienstkennung-kim-kom-l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